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звух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слышимом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Уютный жар струился по телу. Горьковатый аромат какао витал в воздухе, будоража тело.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