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28"/>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8"/>
          <w:shd w:fill="auto" w:val="clear"/>
        </w:rPr>
        <w:t xml:space="preserve"> 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ковида-19!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"скорую" 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 аппараты,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Однако уничтожать всех землян они не думали. Господам всегда нужны рабы, а хозяевам слуги. Какую-то часть людей планировалось оставить. Нужно же чем-то затыкать дыры, если в корабле образуется пробоина.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Совесть сверх 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 сущности занялись текущими делами.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