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25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Вот какова ценность этого мягенького прямоугольничка? Как их делают? Никому непонятно. Явно, что одна химия. Никакой заботы о матушке-природе.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вспядь.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Arial" w:hAnsi="Arial" w:cs="Arial" w:eastAsia="Arial"/>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